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0688" w14:textId="31528F52" w:rsidR="0013323C" w:rsidRDefault="0013323C" w:rsidP="0013323C"/>
    <w:p w14:paraId="4750FB47" w14:textId="08C4BF5E" w:rsidR="009D610F" w:rsidRDefault="009D610F" w:rsidP="0013323C"/>
    <w:p w14:paraId="31128C34" w14:textId="77777777" w:rsidR="00684317" w:rsidRDefault="00684317" w:rsidP="009D610F">
      <w:pPr>
        <w:jc w:val="center"/>
        <w:rPr>
          <w:b/>
        </w:rPr>
      </w:pPr>
    </w:p>
    <w:p w14:paraId="2C9C3240" w14:textId="77777777" w:rsidR="00684317" w:rsidRDefault="00684317" w:rsidP="009D610F">
      <w:pPr>
        <w:jc w:val="center"/>
        <w:rPr>
          <w:b/>
        </w:rPr>
      </w:pPr>
    </w:p>
    <w:p w14:paraId="7EEE3430" w14:textId="2F99714C" w:rsidR="009D610F" w:rsidRPr="00684317" w:rsidRDefault="009D610F" w:rsidP="009D610F">
      <w:pPr>
        <w:jc w:val="center"/>
        <w:rPr>
          <w:b/>
          <w:lang w:val="en-US"/>
        </w:rPr>
      </w:pPr>
      <w:r w:rsidRPr="00684317">
        <w:rPr>
          <w:b/>
          <w:lang w:val="en-US"/>
        </w:rPr>
        <w:t>PhD Program in Psychology</w:t>
      </w:r>
    </w:p>
    <w:p w14:paraId="3438047C" w14:textId="6410EB5A" w:rsidR="009D610F" w:rsidRPr="00684317" w:rsidRDefault="009D610F" w:rsidP="009D610F">
      <w:pPr>
        <w:jc w:val="center"/>
        <w:rPr>
          <w:lang w:val="en-US"/>
        </w:rPr>
      </w:pPr>
    </w:p>
    <w:p w14:paraId="7821C185" w14:textId="420A05C0" w:rsidR="009D610F" w:rsidRPr="00684317" w:rsidRDefault="009D610F" w:rsidP="009D610F">
      <w:pPr>
        <w:jc w:val="center"/>
        <w:rPr>
          <w:lang w:val="en-US"/>
        </w:rPr>
      </w:pPr>
    </w:p>
    <w:p w14:paraId="6134282C" w14:textId="06A846B7" w:rsidR="009D610F" w:rsidRDefault="009D610F" w:rsidP="009D610F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Seminar “</w:t>
      </w:r>
      <w:r w:rsidR="00A04069" w:rsidRPr="00A04069">
        <w:rPr>
          <w:b/>
          <w:bCs/>
          <w:lang w:val="en-US"/>
        </w:rPr>
        <w:t>Gender Equality in Research Practice</w:t>
      </w:r>
      <w:r>
        <w:rPr>
          <w:b/>
          <w:bCs/>
          <w:lang w:val="en-US"/>
        </w:rPr>
        <w:t>”</w:t>
      </w:r>
    </w:p>
    <w:p w14:paraId="27517AC5" w14:textId="77777777" w:rsidR="00684317" w:rsidRDefault="00684317" w:rsidP="009D610F">
      <w:pPr>
        <w:spacing w:line="360" w:lineRule="auto"/>
        <w:jc w:val="center"/>
        <w:rPr>
          <w:b/>
          <w:bCs/>
          <w:lang w:val="en-US"/>
        </w:rPr>
      </w:pPr>
    </w:p>
    <w:p w14:paraId="60DF39B0" w14:textId="7C49A595" w:rsidR="009D610F" w:rsidRPr="008630D8" w:rsidRDefault="009D610F" w:rsidP="00684317">
      <w:pPr>
        <w:spacing w:line="360" w:lineRule="auto"/>
        <w:jc w:val="center"/>
        <w:rPr>
          <w:b/>
          <w:bCs/>
        </w:rPr>
      </w:pPr>
      <w:r w:rsidRPr="008630D8">
        <w:rPr>
          <w:b/>
          <w:bCs/>
        </w:rPr>
        <w:t>Prof.</w:t>
      </w:r>
      <w:r w:rsidR="00A04069" w:rsidRPr="008630D8">
        <w:rPr>
          <w:b/>
          <w:bCs/>
        </w:rPr>
        <w:t xml:space="preserve"> Michela Menegatti</w:t>
      </w:r>
    </w:p>
    <w:p w14:paraId="70E33490" w14:textId="77777777" w:rsidR="00684317" w:rsidRPr="00684317" w:rsidRDefault="00684317" w:rsidP="00684317">
      <w:pPr>
        <w:spacing w:line="360" w:lineRule="auto"/>
        <w:jc w:val="center"/>
      </w:pPr>
    </w:p>
    <w:p w14:paraId="021C1BF4" w14:textId="03FC2CA7" w:rsidR="00190A0D" w:rsidRPr="003068B2" w:rsidRDefault="00A04069" w:rsidP="00190A0D">
      <w:pPr>
        <w:spacing w:line="360" w:lineRule="auto"/>
        <w:jc w:val="center"/>
        <w:rPr>
          <w:bCs/>
        </w:rPr>
      </w:pPr>
      <w:r>
        <w:rPr>
          <w:bCs/>
        </w:rPr>
        <w:t xml:space="preserve">Date </w:t>
      </w:r>
      <w:r w:rsidR="00740252">
        <w:rPr>
          <w:bCs/>
        </w:rPr>
        <w:t xml:space="preserve">2 </w:t>
      </w:r>
      <w:proofErr w:type="spellStart"/>
      <w:r w:rsidR="00190A0D">
        <w:rPr>
          <w:bCs/>
        </w:rPr>
        <w:t>February</w:t>
      </w:r>
      <w:proofErr w:type="spellEnd"/>
      <w:r w:rsidR="00190A0D">
        <w:rPr>
          <w:bCs/>
        </w:rPr>
        <w:t xml:space="preserve"> 2025, 1-5 </w:t>
      </w:r>
      <w:proofErr w:type="spellStart"/>
      <w:r w:rsidR="00190A0D">
        <w:rPr>
          <w:bCs/>
        </w:rPr>
        <w:t>pm</w:t>
      </w:r>
      <w:proofErr w:type="spellEnd"/>
    </w:p>
    <w:p w14:paraId="2E04AF0A" w14:textId="59FA67B4" w:rsidR="00684317" w:rsidRPr="003068B2" w:rsidRDefault="00A04069" w:rsidP="003068B2">
      <w:pPr>
        <w:spacing w:line="360" w:lineRule="auto"/>
        <w:jc w:val="center"/>
        <w:rPr>
          <w:bCs/>
        </w:rPr>
      </w:pPr>
      <w:r>
        <w:rPr>
          <w:bCs/>
        </w:rPr>
        <w:t>Bologna</w:t>
      </w:r>
    </w:p>
    <w:p w14:paraId="0571B8D2" w14:textId="76CBFE5E" w:rsidR="009D610F" w:rsidRPr="00684317" w:rsidRDefault="009D610F" w:rsidP="009D610F">
      <w:pPr>
        <w:spacing w:line="360" w:lineRule="auto"/>
        <w:jc w:val="center"/>
        <w:rPr>
          <w:b/>
          <w:bCs/>
        </w:rPr>
      </w:pPr>
    </w:p>
    <w:p w14:paraId="0D32E8B3" w14:textId="267737F8" w:rsidR="009D610F" w:rsidRPr="009D610F" w:rsidRDefault="009D610F" w:rsidP="009D610F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Abstract</w:t>
      </w:r>
    </w:p>
    <w:p w14:paraId="2D5C7FD7" w14:textId="77777777" w:rsidR="00A04069" w:rsidRPr="00A04069" w:rsidRDefault="00A04069" w:rsidP="00A04069">
      <w:pPr>
        <w:rPr>
          <w:lang w:val="en-US"/>
        </w:rPr>
      </w:pPr>
      <w:r w:rsidRPr="00A04069">
        <w:rPr>
          <w:lang w:val="en-US"/>
        </w:rPr>
        <w:t xml:space="preserve">Gender inequality in research practice could take different forms. It can concern a lack of integration of the sex and gender dimensions in research when the studies are planned, the hypotheses formulated, the sample collected, and the data </w:t>
      </w:r>
      <w:proofErr w:type="spellStart"/>
      <w:r w:rsidRPr="00A04069">
        <w:rPr>
          <w:lang w:val="en-US"/>
        </w:rPr>
        <w:t>analysed</w:t>
      </w:r>
      <w:proofErr w:type="spellEnd"/>
      <w:r w:rsidRPr="00A04069">
        <w:rPr>
          <w:lang w:val="en-US"/>
        </w:rPr>
        <w:t xml:space="preserve"> and interpreted. Gender bias could also affect the peer review process of manuscripts and especially grants. Finally, despite important advances in the last fifty years, gender-based discrimination continues to hinder women’s career progress in universities. We will try to discuss and explain these issues from a social-psychological point of view and propose solutions to arrive at a more gender-balanced research practice.  </w:t>
      </w:r>
    </w:p>
    <w:p w14:paraId="0107B39C" w14:textId="77777777" w:rsidR="009D610F" w:rsidRPr="009D610F" w:rsidRDefault="009D610F" w:rsidP="009D610F">
      <w:pPr>
        <w:spacing w:line="360" w:lineRule="auto"/>
        <w:rPr>
          <w:i/>
          <w:iCs/>
          <w:lang w:val="en-US"/>
        </w:rPr>
      </w:pPr>
    </w:p>
    <w:p w14:paraId="63BF93DA" w14:textId="77777777" w:rsidR="00A04069" w:rsidRDefault="009D610F" w:rsidP="00A04069">
      <w:pPr>
        <w:spacing w:line="259" w:lineRule="auto"/>
        <w:rPr>
          <w:b/>
          <w:bCs/>
          <w:lang w:val="en-US"/>
        </w:rPr>
      </w:pPr>
      <w:r w:rsidRPr="776483AE">
        <w:rPr>
          <w:b/>
          <w:bCs/>
          <w:lang w:val="en-US"/>
        </w:rPr>
        <w:t>Reading</w:t>
      </w:r>
      <w:r w:rsidR="00A04069">
        <w:rPr>
          <w:b/>
          <w:bCs/>
          <w:lang w:val="en-US"/>
        </w:rPr>
        <w:t>s</w:t>
      </w:r>
    </w:p>
    <w:p w14:paraId="33703B81" w14:textId="77777777" w:rsidR="00A04069" w:rsidRPr="00A04069" w:rsidRDefault="00A04069" w:rsidP="00A04069">
      <w:pPr>
        <w:rPr>
          <w:lang w:val="en-US"/>
        </w:rPr>
      </w:pPr>
    </w:p>
    <w:p w14:paraId="1B3A6552" w14:textId="77777777" w:rsidR="008630D8" w:rsidRPr="00101796" w:rsidRDefault="008630D8" w:rsidP="008630D8">
      <w:pPr>
        <w:ind w:left="709" w:hanging="709"/>
        <w:rPr>
          <w:rStyle w:val="Collegamentoipertestuale"/>
          <w:lang w:val="en-US"/>
        </w:rPr>
      </w:pPr>
      <w:proofErr w:type="spellStart"/>
      <w:r w:rsidRPr="008630D8">
        <w:t>Heidari</w:t>
      </w:r>
      <w:proofErr w:type="spellEnd"/>
      <w:r w:rsidRPr="008630D8">
        <w:t xml:space="preserve">, S., </w:t>
      </w:r>
      <w:proofErr w:type="spellStart"/>
      <w:r w:rsidRPr="008630D8">
        <w:t>Babor</w:t>
      </w:r>
      <w:proofErr w:type="spellEnd"/>
      <w:r w:rsidRPr="008630D8">
        <w:t xml:space="preserve">, T. F., De Castro, P., </w:t>
      </w:r>
      <w:proofErr w:type="spellStart"/>
      <w:r w:rsidRPr="008630D8">
        <w:t>Tort</w:t>
      </w:r>
      <w:proofErr w:type="spellEnd"/>
      <w:r w:rsidRPr="008630D8">
        <w:t xml:space="preserve">, S., &amp; Curno, M. (2016). </w:t>
      </w:r>
      <w:r w:rsidRPr="00101796">
        <w:rPr>
          <w:lang w:val="en-US"/>
        </w:rPr>
        <w:t>Sex and Gender Equity in Research: rationale for the SAGER guidelines and recommended use. </w:t>
      </w:r>
      <w:r w:rsidRPr="00101796">
        <w:rPr>
          <w:i/>
          <w:iCs/>
          <w:lang w:val="en-US"/>
        </w:rPr>
        <w:t>Research integrity and peer review</w:t>
      </w:r>
      <w:r w:rsidRPr="00101796">
        <w:rPr>
          <w:lang w:val="en-US"/>
        </w:rPr>
        <w:t>, </w:t>
      </w:r>
      <w:r w:rsidRPr="00101796">
        <w:rPr>
          <w:i/>
          <w:iCs/>
          <w:lang w:val="en-US"/>
        </w:rPr>
        <w:t>1</w:t>
      </w:r>
      <w:r w:rsidRPr="00101796">
        <w:rPr>
          <w:lang w:val="en-US"/>
        </w:rPr>
        <w:t xml:space="preserve">, 2. </w:t>
      </w:r>
      <w:hyperlink r:id="rId11" w:history="1">
        <w:r w:rsidRPr="00101796">
          <w:rPr>
            <w:rStyle w:val="Collegamentoipertestuale"/>
            <w:lang w:val="en-US"/>
          </w:rPr>
          <w:t>https://doi.org/10.1186/s41073-016-0007-6</w:t>
        </w:r>
      </w:hyperlink>
    </w:p>
    <w:p w14:paraId="2A4DC1E6" w14:textId="77777777" w:rsidR="008630D8" w:rsidRPr="00101796" w:rsidRDefault="008630D8" w:rsidP="008630D8">
      <w:pPr>
        <w:ind w:left="709" w:hanging="709"/>
        <w:rPr>
          <w:lang w:val="en-US"/>
        </w:rPr>
      </w:pPr>
      <w:proofErr w:type="spellStart"/>
      <w:r w:rsidRPr="00101796">
        <w:rPr>
          <w:lang w:val="en-US"/>
        </w:rPr>
        <w:t>Lefler</w:t>
      </w:r>
      <w:proofErr w:type="spellEnd"/>
      <w:r w:rsidRPr="00101796">
        <w:rPr>
          <w:lang w:val="en-US"/>
        </w:rPr>
        <w:t xml:space="preserve">, E. K., </w:t>
      </w:r>
      <w:proofErr w:type="spellStart"/>
      <w:r w:rsidRPr="00101796">
        <w:rPr>
          <w:lang w:val="en-US"/>
        </w:rPr>
        <w:t>Tabler</w:t>
      </w:r>
      <w:proofErr w:type="spellEnd"/>
      <w:r w:rsidRPr="00101796">
        <w:rPr>
          <w:lang w:val="en-US"/>
        </w:rPr>
        <w:t>, J., Abu-Ramadan, T. M., Stevens, A. E., Serrano, J. W., Shelton, C. R., &amp; Hartung, C. M. (2025). Sex, Gender, and Sexual Orientation in Psychological Research: Exploring Data Trends &amp; Researcher Opinions. </w:t>
      </w:r>
      <w:r w:rsidRPr="00101796">
        <w:rPr>
          <w:i/>
          <w:iCs/>
          <w:lang w:val="en-US"/>
        </w:rPr>
        <w:t>Psychological reports</w:t>
      </w:r>
      <w:r w:rsidRPr="00101796">
        <w:rPr>
          <w:lang w:val="en-US"/>
        </w:rPr>
        <w:t>, </w:t>
      </w:r>
      <w:r w:rsidRPr="00101796">
        <w:rPr>
          <w:i/>
          <w:iCs/>
          <w:lang w:val="en-US"/>
        </w:rPr>
        <w:t>128</w:t>
      </w:r>
      <w:r w:rsidRPr="00101796">
        <w:rPr>
          <w:lang w:val="en-US"/>
        </w:rPr>
        <w:t>(5), 3825–3852. https://doi.org/10.1177/00332941231199959</w:t>
      </w:r>
    </w:p>
    <w:p w14:paraId="0414567F" w14:textId="77777777" w:rsidR="008630D8" w:rsidRPr="00101796" w:rsidRDefault="008630D8" w:rsidP="008630D8">
      <w:pPr>
        <w:ind w:left="709" w:hanging="709"/>
        <w:rPr>
          <w:rStyle w:val="Collegamentoipertestuale"/>
          <w:lang w:val="en-US"/>
        </w:rPr>
      </w:pPr>
      <w:r w:rsidRPr="00101796">
        <w:rPr>
          <w:lang w:val="en-US"/>
        </w:rPr>
        <w:t>Ryan M. K. (2023). Addressing workplace gender inequality: Using the evidence to avoid common pitfalls. </w:t>
      </w:r>
      <w:r w:rsidRPr="00101796">
        <w:rPr>
          <w:i/>
          <w:iCs/>
          <w:lang w:val="en-US"/>
        </w:rPr>
        <w:t>The British journal of social psychology</w:t>
      </w:r>
      <w:r w:rsidRPr="00101796">
        <w:rPr>
          <w:lang w:val="en-US"/>
        </w:rPr>
        <w:t>, </w:t>
      </w:r>
      <w:r w:rsidRPr="00101796">
        <w:rPr>
          <w:i/>
          <w:iCs/>
          <w:lang w:val="en-US"/>
        </w:rPr>
        <w:t>62</w:t>
      </w:r>
      <w:r w:rsidRPr="00101796">
        <w:rPr>
          <w:lang w:val="en-US"/>
        </w:rPr>
        <w:t xml:space="preserve">(1), 1–11. </w:t>
      </w:r>
      <w:hyperlink r:id="rId12" w:history="1">
        <w:r w:rsidRPr="00101796">
          <w:rPr>
            <w:rStyle w:val="Collegamentoipertestuale"/>
            <w:lang w:val="en-US"/>
          </w:rPr>
          <w:t>https://doi.org/10.1111/bjso.12606</w:t>
        </w:r>
      </w:hyperlink>
    </w:p>
    <w:p w14:paraId="1B46F39F" w14:textId="77777777" w:rsidR="008630D8" w:rsidRPr="00101796" w:rsidRDefault="008630D8" w:rsidP="008630D8">
      <w:pPr>
        <w:ind w:left="709" w:hanging="709"/>
        <w:rPr>
          <w:lang w:val="en-US"/>
        </w:rPr>
      </w:pPr>
      <w:r w:rsidRPr="00101796">
        <w:rPr>
          <w:lang w:val="en-US"/>
        </w:rPr>
        <w:t>Upchurch, M. (2020). Gender Bias in Research. In Companion to Women's and Gender Studies, N.A. Naples (Ed.). </w:t>
      </w:r>
      <w:hyperlink r:id="rId13" w:history="1">
        <w:r w:rsidRPr="00101796">
          <w:rPr>
            <w:rStyle w:val="Collegamentoipertestuale"/>
            <w:lang w:val="en-US"/>
          </w:rPr>
          <w:t>https://doi.org/10.1002/9781119315063.ch7</w:t>
        </w:r>
      </w:hyperlink>
    </w:p>
    <w:p w14:paraId="5F84FCAE" w14:textId="0B3D93CB" w:rsidR="00664352" w:rsidRPr="00A04069" w:rsidRDefault="00664352" w:rsidP="00A04069">
      <w:pPr>
        <w:spacing w:line="259" w:lineRule="auto"/>
        <w:rPr>
          <w:b/>
          <w:bCs/>
          <w:lang w:val="en-US"/>
        </w:rPr>
      </w:pPr>
    </w:p>
    <w:sectPr w:rsidR="00664352" w:rsidRPr="00A04069" w:rsidSect="00B779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53BD" w14:textId="77777777" w:rsidR="00935946" w:rsidRDefault="00935946">
      <w:r>
        <w:separator/>
      </w:r>
    </w:p>
  </w:endnote>
  <w:endnote w:type="continuationSeparator" w:id="0">
    <w:p w14:paraId="7D5DB92A" w14:textId="77777777" w:rsidR="00935946" w:rsidRDefault="0093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8F10" w14:textId="77777777" w:rsidR="00C3363A" w:rsidRDefault="00C336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DC1F" w14:textId="2935F6C7" w:rsidR="00A21287" w:rsidRPr="009E3608" w:rsidRDefault="001D17E6" w:rsidP="00972FD0">
    <w:pPr>
      <w:pStyle w:val="Pidipagina"/>
      <w:tabs>
        <w:tab w:val="clear" w:pos="9638"/>
        <w:tab w:val="right" w:pos="10065"/>
      </w:tabs>
      <w:ind w:right="-285"/>
      <w:jc w:val="center"/>
      <w:rPr>
        <w:rFonts w:ascii="Arial" w:hAnsi="Arial" w:cs="Arial"/>
        <w:color w:val="000000"/>
        <w:sz w:val="19"/>
        <w:szCs w:val="19"/>
        <w:shd w:val="clear" w:color="auto" w:fill="FFFFFF"/>
      </w:rPr>
    </w:pPr>
    <w:r>
      <w:rPr>
        <w:rFonts w:ascii="Calibri" w:hAnsi="Calibri" w:cs="Calibri"/>
        <w:b/>
        <w:iCs/>
        <w:caps/>
      </w:rPr>
      <w:t xml:space="preserve"> </w:t>
    </w:r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Viale Berti </w:t>
    </w:r>
    <w:proofErr w:type="spell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Pichat</w:t>
    </w:r>
    <w:proofErr w:type="spellEnd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</w:t>
    </w:r>
    <w:proofErr w:type="gram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5  Bologna</w:t>
    </w:r>
    <w:proofErr w:type="gramEnd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– </w:t>
    </w:r>
    <w:proofErr w:type="spellStart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>pec:</w:t>
    </w:r>
    <w:hyperlink r:id="rId1" w:history="1">
      <w:r w:rsidR="009E3608" w:rsidRPr="00142B1E">
        <w:rPr>
          <w:rStyle w:val="Collegamentoipertestuale"/>
          <w:rFonts w:ascii="Arial" w:hAnsi="Arial" w:cs="Arial"/>
          <w:sz w:val="19"/>
          <w:szCs w:val="19"/>
          <w:shd w:val="clear" w:color="auto" w:fill="FFFFFF"/>
        </w:rPr>
        <w:t>psi.dipartimento@pec.unibo.it</w:t>
      </w:r>
      <w:proofErr w:type="spellEnd"/>
    </w:hyperlink>
    <w:r w:rsidR="009E3608" w:rsidRPr="009E3608">
      <w:rPr>
        <w:rFonts w:ascii="Arial" w:hAnsi="Arial" w:cs="Arial"/>
        <w:color w:val="000000"/>
        <w:sz w:val="19"/>
        <w:szCs w:val="19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CFA6" w14:textId="77777777" w:rsidR="00C3363A" w:rsidRDefault="00C33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B837" w14:textId="77777777" w:rsidR="00935946" w:rsidRDefault="00935946">
      <w:r>
        <w:separator/>
      </w:r>
    </w:p>
  </w:footnote>
  <w:footnote w:type="continuationSeparator" w:id="0">
    <w:p w14:paraId="40D80A3A" w14:textId="77777777" w:rsidR="00935946" w:rsidRDefault="0093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9E82" w14:textId="77777777" w:rsidR="00C3363A" w:rsidRDefault="00C336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1086E2D">
          <wp:extent cx="3173322" cy="1252800"/>
          <wp:effectExtent l="0" t="0" r="190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32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C31D" w14:textId="77777777" w:rsidR="00C3363A" w:rsidRDefault="00C336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722"/>
    <w:multiLevelType w:val="hybridMultilevel"/>
    <w:tmpl w:val="C23628F0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FB4B47"/>
    <w:multiLevelType w:val="hybridMultilevel"/>
    <w:tmpl w:val="352C2374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240980">
    <w:abstractNumId w:val="2"/>
  </w:num>
  <w:num w:numId="2" w16cid:durableId="968439939">
    <w:abstractNumId w:val="0"/>
  </w:num>
  <w:num w:numId="3" w16cid:durableId="167904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91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6A3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87FE9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42A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1651"/>
    <w:rsid w:val="00103161"/>
    <w:rsid w:val="00105989"/>
    <w:rsid w:val="00106642"/>
    <w:rsid w:val="00110553"/>
    <w:rsid w:val="00111F1C"/>
    <w:rsid w:val="00112839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A0D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7E6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1F69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49F6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5F5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8B2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930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46A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0AB7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598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1C3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4F7A8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DB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DD7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1A33"/>
    <w:rsid w:val="005A20EA"/>
    <w:rsid w:val="005A27DF"/>
    <w:rsid w:val="005A30A0"/>
    <w:rsid w:val="005A41FA"/>
    <w:rsid w:val="005A4A67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6F9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0DE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005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1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560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E6C36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252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2D3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45B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5003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0D8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51E9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946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FD0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CBB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10F"/>
    <w:rsid w:val="009D6980"/>
    <w:rsid w:val="009D766F"/>
    <w:rsid w:val="009E139D"/>
    <w:rsid w:val="009E1474"/>
    <w:rsid w:val="009E1D39"/>
    <w:rsid w:val="009E2574"/>
    <w:rsid w:val="009E2FBE"/>
    <w:rsid w:val="009E3608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06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FE9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408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1FE3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05C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418F"/>
    <w:rsid w:val="00BC53C2"/>
    <w:rsid w:val="00BC5B25"/>
    <w:rsid w:val="00BC5DDD"/>
    <w:rsid w:val="00BC6618"/>
    <w:rsid w:val="00BC6F58"/>
    <w:rsid w:val="00BD023F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2B9F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363A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6BF3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5F94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001C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0E66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E26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26DF"/>
    <w:rsid w:val="00E2297F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651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3F00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1BB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77648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11B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360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5A1A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A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02/9781119315063.ch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i.org/10.1111/bjso.1260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186/s41073-016-0007-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si.dipartimento@pec.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6758A93F1954088631CE8A7718976" ma:contentTypeVersion="18" ma:contentTypeDescription="Create a new document." ma:contentTypeScope="" ma:versionID="a0ea7e12360fef2693739b5f2ac70bb5">
  <xsd:schema xmlns:xsd="http://www.w3.org/2001/XMLSchema" xmlns:xs="http://www.w3.org/2001/XMLSchema" xmlns:p="http://schemas.microsoft.com/office/2006/metadata/properties" xmlns:ns3="81b7b2d8-605a-414d-81cc-9126d8a0edfd" xmlns:ns4="9069cdc5-377f-4720-a9e3-510a7bee7f6e" targetNamespace="http://schemas.microsoft.com/office/2006/metadata/properties" ma:root="true" ma:fieldsID="167b470b8be09103ac80a5a505b91853" ns3:_="" ns4:_="">
    <xsd:import namespace="81b7b2d8-605a-414d-81cc-9126d8a0edfd"/>
    <xsd:import namespace="9069cdc5-377f-4720-a9e3-510a7bee7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7b2d8-605a-414d-81cc-9126d8a0e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cdc5-377f-4720-a9e3-510a7bee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b7b2d8-605a-414d-81cc-9126d8a0edfd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D23FA33-B073-4BC9-8AE0-164DA80CC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7b2d8-605a-414d-81cc-9126d8a0edfd"/>
    <ds:schemaRef ds:uri="9069cdc5-377f-4720-a9e3-510a7bee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81b7b2d8-605a-414d-81cc-9126d8a0edfd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1625</Characters>
  <Application>Microsoft Office Word</Application>
  <DocSecurity>0</DocSecurity>
  <Lines>13</Lines>
  <Paragraphs>3</Paragraphs>
  <ScaleCrop>false</ScaleCrop>
  <Company>Università di Bologna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Michela Menegatti</cp:lastModifiedBy>
  <cp:revision>5</cp:revision>
  <cp:lastPrinted>2024-04-17T10:17:00Z</cp:lastPrinted>
  <dcterms:created xsi:type="dcterms:W3CDTF">2024-11-06T10:24:00Z</dcterms:created>
  <dcterms:modified xsi:type="dcterms:W3CDTF">2025-12-09T09:36:00Z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GrammarlyDocumentId">
    <vt:lpwstr>4e17e47d624c4e492831e0ae3700629290263ce1d85ff12f6b64a83b575b49a7</vt:lpwstr>
  </property>
  <property fmtid="{D5CDD505-2E9C-101B-9397-08002B2CF9AE}" pid="4" name="ContentTypeId">
    <vt:lpwstr>0x0101006B76758A93F1954088631CE8A7718976</vt:lpwstr>
  </property>
</Properties>
</file>